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B47E" w14:textId="77777777" w:rsidR="00C367F9" w:rsidRDefault="00C367F9">
      <w:pPr>
        <w:pStyle w:val="BodyText"/>
        <w:ind w:left="0"/>
        <w:rPr>
          <w:rFonts w:ascii="Times New Roman"/>
        </w:rPr>
      </w:pPr>
    </w:p>
    <w:p w14:paraId="735E2408" w14:textId="77777777" w:rsidR="00C367F9" w:rsidRDefault="00C367F9">
      <w:pPr>
        <w:pStyle w:val="BodyText"/>
        <w:ind w:left="0"/>
        <w:rPr>
          <w:rFonts w:ascii="Times New Roman"/>
        </w:rPr>
      </w:pPr>
    </w:p>
    <w:p w14:paraId="7D993413" w14:textId="77777777" w:rsidR="00C367F9" w:rsidRDefault="00C367F9">
      <w:pPr>
        <w:pStyle w:val="BodyText"/>
        <w:ind w:left="0"/>
        <w:rPr>
          <w:rFonts w:ascii="Times New Roman"/>
        </w:rPr>
      </w:pPr>
    </w:p>
    <w:p w14:paraId="796FAFC4" w14:textId="77777777" w:rsidR="00C367F9" w:rsidRDefault="00C367F9">
      <w:pPr>
        <w:pStyle w:val="BodyText"/>
        <w:spacing w:before="225"/>
        <w:ind w:left="0"/>
        <w:rPr>
          <w:rFonts w:ascii="Times New Roman"/>
        </w:rPr>
      </w:pPr>
    </w:p>
    <w:p w14:paraId="4CB6DD93" w14:textId="77777777" w:rsidR="00C367F9" w:rsidRDefault="001E3C56">
      <w:pPr>
        <w:pStyle w:val="BodyText"/>
        <w:ind w:left="175" w:right="4"/>
        <w:jc w:val="center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759C503A" wp14:editId="08BEC912">
            <wp:simplePos x="0" y="0"/>
            <wp:positionH relativeFrom="page">
              <wp:posOffset>307860</wp:posOffset>
            </wp:positionH>
            <wp:positionV relativeFrom="paragraph">
              <wp:posOffset>-781160</wp:posOffset>
            </wp:positionV>
            <wp:extent cx="1409115" cy="9965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115" cy="99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Lion</w:t>
      </w:r>
      <w:r>
        <w:rPr>
          <w:spacing w:val="-4"/>
        </w:rPr>
        <w:t xml:space="preserve"> </w:t>
      </w:r>
      <w:r>
        <w:rPr>
          <w:spacing w:val="-2"/>
        </w:rPr>
        <w:t>Richlands</w:t>
      </w:r>
    </w:p>
    <w:p w14:paraId="1E5F357C" w14:textId="127D6566" w:rsidR="00C367F9" w:rsidRDefault="00AC4CA2">
      <w:pPr>
        <w:pStyle w:val="BodyText"/>
        <w:spacing w:before="21"/>
        <w:ind w:left="175"/>
        <w:jc w:val="center"/>
      </w:pPr>
      <w:r>
        <w:t>The 6e Gold Rush</w:t>
      </w:r>
    </w:p>
    <w:p w14:paraId="57F70229" w14:textId="535F5261" w:rsidR="00AC4CA2" w:rsidRPr="00082A6E" w:rsidRDefault="001E3C56" w:rsidP="00082A6E">
      <w:pPr>
        <w:pStyle w:val="BodyText"/>
        <w:spacing w:before="24"/>
        <w:ind w:left="175" w:right="14"/>
        <w:jc w:val="center"/>
        <w:rPr>
          <w:b/>
          <w:bCs/>
        </w:rPr>
      </w:pPr>
      <w:r w:rsidRPr="00AC4CA2">
        <w:rPr>
          <w:b/>
          <w:bCs/>
          <w:spacing w:val="-10"/>
        </w:rPr>
        <w:t>Terms and Conditions</w:t>
      </w:r>
    </w:p>
    <w:p w14:paraId="1726A86E" w14:textId="77777777" w:rsidR="00C367F9" w:rsidRDefault="00C367F9">
      <w:pPr>
        <w:pStyle w:val="BodyText"/>
        <w:spacing w:before="203"/>
        <w:ind w:left="0"/>
      </w:pPr>
    </w:p>
    <w:p w14:paraId="6EDA7D39" w14:textId="3A0DED91" w:rsidR="00C367F9" w:rsidRDefault="001E3C56" w:rsidP="00082A6E">
      <w:pPr>
        <w:pStyle w:val="Heading1"/>
        <w:tabs>
          <w:tab w:val="left" w:pos="1176"/>
        </w:tabs>
        <w:spacing w:before="0"/>
      </w:pPr>
      <w:r>
        <w:t xml:space="preserve">Raﬄe </w:t>
      </w:r>
      <w:r>
        <w:rPr>
          <w:spacing w:val="-4"/>
        </w:rPr>
        <w:t>Name</w:t>
      </w:r>
    </w:p>
    <w:p w14:paraId="4F02EEAA" w14:textId="77CD0B04" w:rsidR="00C367F9" w:rsidRDefault="00AC4CA2">
      <w:pPr>
        <w:pStyle w:val="BodyText"/>
        <w:spacing w:before="182"/>
        <w:ind w:left="1015"/>
      </w:pPr>
      <w:r>
        <w:t>The 6e Gold Rush</w:t>
      </w:r>
    </w:p>
    <w:p w14:paraId="40D06536" w14:textId="77777777" w:rsidR="00082A6E" w:rsidRPr="00082A6E" w:rsidRDefault="00082A6E" w:rsidP="00082A6E">
      <w:pPr>
        <w:pStyle w:val="BodyText"/>
        <w:spacing w:before="182"/>
        <w:ind w:left="0"/>
        <w:rPr>
          <w:lang w:val="en-AU"/>
        </w:rPr>
      </w:pPr>
    </w:p>
    <w:p w14:paraId="15C7B0D8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Promoter</w:t>
      </w:r>
    </w:p>
    <w:p w14:paraId="28D81B59" w14:textId="2B5CA414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"The 6e Gold Rush" Art Union Raffle will be conducted by The Queensland Lions</w:t>
      </w:r>
      <w:r>
        <w:rPr>
          <w:lang w:val="en-AU"/>
        </w:rPr>
        <w:t xml:space="preserve"> </w:t>
      </w:r>
      <w:r w:rsidRPr="00082A6E">
        <w:rPr>
          <w:lang w:val="en-AU"/>
        </w:rPr>
        <w:t xml:space="preserve">Football Club (The Lion </w:t>
      </w:r>
      <w:proofErr w:type="gramStart"/>
      <w:r w:rsidRPr="00082A6E">
        <w:rPr>
          <w:lang w:val="en-AU"/>
        </w:rPr>
        <w:t>Richlands)ABN</w:t>
      </w:r>
      <w:proofErr w:type="gramEnd"/>
      <w:r w:rsidRPr="00082A6E">
        <w:rPr>
          <w:lang w:val="en-AU"/>
        </w:rPr>
        <w:t xml:space="preserve"> 78 009 809 205133 Pine Road, Richlands, QLD 4077.</w:t>
      </w:r>
    </w:p>
    <w:p w14:paraId="2707709A" w14:textId="77777777" w:rsidR="00082A6E" w:rsidRDefault="00082A6E" w:rsidP="00082A6E">
      <w:pPr>
        <w:pStyle w:val="BodyText"/>
        <w:spacing w:before="182"/>
        <w:ind w:left="1015"/>
        <w:rPr>
          <w:b/>
          <w:bCs/>
          <w:lang w:val="en-AU"/>
        </w:rPr>
      </w:pPr>
    </w:p>
    <w:p w14:paraId="346E8A11" w14:textId="7E7D4686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Benefiting Organisations</w:t>
      </w:r>
    </w:p>
    <w:p w14:paraId="0FB3755C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Queensland Lions Football Club (Lions FC), ABN 78 009 809 205</w:t>
      </w:r>
    </w:p>
    <w:p w14:paraId="72AA1353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Smart Pups Assistance Dogs, ABN 38 5646 018 72</w:t>
      </w:r>
    </w:p>
    <w:p w14:paraId="01B44D3E" w14:textId="7777777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All benefiting organisations are not-for-profit organisations.</w:t>
      </w:r>
    </w:p>
    <w:p w14:paraId="7BDF1CDD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7D040130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Raffle Promotion Period</w:t>
      </w:r>
    </w:p>
    <w:p w14:paraId="1DAE7B17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Raffle starts at 10:00am AEST on 01/06/2026.The Raffle closes at 5:00pm AEST on 23/09/2026.</w:t>
      </w:r>
    </w:p>
    <w:p w14:paraId="49B4D415" w14:textId="7777777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No entries will be accepted after this time.</w:t>
      </w:r>
    </w:p>
    <w:p w14:paraId="325E2173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39390258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Raffle Website</w:t>
      </w:r>
    </w:p>
    <w:p w14:paraId="5B1BC634" w14:textId="2C289158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Raffle Website will be accessible from:</w:t>
      </w:r>
      <w:r>
        <w:rPr>
          <w:lang w:val="en-AU"/>
        </w:rPr>
        <w:t xml:space="preserve"> </w:t>
      </w:r>
      <w:r w:rsidRPr="00082A6E">
        <w:rPr>
          <w:lang w:val="en-AU"/>
        </w:rPr>
        <w:t>https://www.raffletix.com.au/the-6e-gold-rush</w:t>
      </w:r>
    </w:p>
    <w:p w14:paraId="1435F76E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538FA9BB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Relevant States</w:t>
      </w:r>
    </w:p>
    <w:p w14:paraId="496F59E7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Entry is open to residents aged 18 years or older of:</w:t>
      </w:r>
    </w:p>
    <w:p w14:paraId="4FD8CD22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New South Wales (NSW)</w:t>
      </w:r>
    </w:p>
    <w:p w14:paraId="4B425F80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Queensland (QLD)</w:t>
      </w:r>
    </w:p>
    <w:p w14:paraId="4C569CA6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31C45C67" w14:textId="7777777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Residents of any other State or Territory are not permitted to enter.</w:t>
      </w:r>
    </w:p>
    <w:p w14:paraId="47EA422E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5519BBED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Entry Restrictions</w:t>
      </w:r>
    </w:p>
    <w:p w14:paraId="574B4B23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following are not eligible to enter or win a prize:</w:t>
      </w:r>
    </w:p>
    <w:p w14:paraId="7E8E67F6" w14:textId="0A3847D6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lastRenderedPageBreak/>
        <w:t>Members of the Management Committee of the Promoter or benefiting</w:t>
      </w:r>
      <w:r>
        <w:rPr>
          <w:lang w:val="en-AU"/>
        </w:rPr>
        <w:t xml:space="preserve"> </w:t>
      </w:r>
      <w:r w:rsidRPr="00082A6E">
        <w:rPr>
          <w:lang w:val="en-AU"/>
        </w:rPr>
        <w:t>organisations</w:t>
      </w:r>
    </w:p>
    <w:p w14:paraId="383737F0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 xml:space="preserve">Employees or contractors of </w:t>
      </w:r>
      <w:proofErr w:type="spellStart"/>
      <w:r w:rsidRPr="00082A6E">
        <w:rPr>
          <w:lang w:val="en-AU"/>
        </w:rPr>
        <w:t>RaffleTix</w:t>
      </w:r>
      <w:proofErr w:type="spellEnd"/>
    </w:p>
    <w:p w14:paraId="3969B77F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Any person directly engaged in managing or conducting the raffle</w:t>
      </w:r>
    </w:p>
    <w:p w14:paraId="27B15DA7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Immediate family members of any of the above</w:t>
      </w:r>
    </w:p>
    <w:p w14:paraId="5A629354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12BAD82F" w14:textId="5F7E455F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Immediate family includes a spouse (including de facto), parents, children, or anyone</w:t>
      </w:r>
      <w:r>
        <w:rPr>
          <w:lang w:val="en-AU"/>
        </w:rPr>
        <w:t xml:space="preserve"> </w:t>
      </w:r>
      <w:r w:rsidRPr="00082A6E">
        <w:rPr>
          <w:lang w:val="en-AU"/>
        </w:rPr>
        <w:t>residing at the same premises.</w:t>
      </w:r>
    </w:p>
    <w:p w14:paraId="0627168A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25042E4F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Verification Requirements</w:t>
      </w:r>
    </w:p>
    <w:p w14:paraId="2C715F1F" w14:textId="0949639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Winners may be required to provide proof of age and residency. Failure to do so to the</w:t>
      </w:r>
      <w:r>
        <w:rPr>
          <w:lang w:val="en-AU"/>
        </w:rPr>
        <w:t xml:space="preserve"> </w:t>
      </w:r>
      <w:r w:rsidRPr="00082A6E">
        <w:rPr>
          <w:lang w:val="en-AU"/>
        </w:rPr>
        <w:t>Promoter's satisfaction may result in forfeiture of the prize, subject to regulatory</w:t>
      </w:r>
      <w:r>
        <w:rPr>
          <w:lang w:val="en-AU"/>
        </w:rPr>
        <w:t xml:space="preserve"> </w:t>
      </w:r>
      <w:r w:rsidRPr="00082A6E">
        <w:rPr>
          <w:lang w:val="en-AU"/>
        </w:rPr>
        <w:t>approval.</w:t>
      </w:r>
    </w:p>
    <w:p w14:paraId="029ED79B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145AFA9C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Maximum Number of Tickets</w:t>
      </w:r>
    </w:p>
    <w:p w14:paraId="014CFE0E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A maximum of 65,000 tickets will be available for purchase.</w:t>
      </w:r>
    </w:p>
    <w:p w14:paraId="01BB083A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Ticket pricing bundles will be listed on the raffle website.</w:t>
      </w:r>
    </w:p>
    <w:p w14:paraId="7F3741D4" w14:textId="1C0F5534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raffle will close when all tickets are sold or at the end of the Promotion Period,</w:t>
      </w:r>
      <w:r>
        <w:rPr>
          <w:lang w:val="en-AU"/>
        </w:rPr>
        <w:t xml:space="preserve"> </w:t>
      </w:r>
      <w:r w:rsidRPr="00082A6E">
        <w:rPr>
          <w:lang w:val="en-AU"/>
        </w:rPr>
        <w:t>whichever occurs first.</w:t>
      </w:r>
    </w:p>
    <w:p w14:paraId="45E532F4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05E56687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Prize Details</w:t>
      </w:r>
    </w:p>
    <w:p w14:paraId="4C9B019D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First Prize: One new Mazda 6e valued at $56,682.00, including on-road costs.</w:t>
      </w:r>
    </w:p>
    <w:p w14:paraId="7199C331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Included with First Prize: One EV charging station and installation package valued at$5,000.00.</w:t>
      </w:r>
    </w:p>
    <w:p w14:paraId="32E222DE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Included with First Prize: $50,000.00 worth of gold bullion.</w:t>
      </w:r>
    </w:p>
    <w:p w14:paraId="28606010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Total Prize Pool RRP: $111,682.00</w:t>
      </w:r>
    </w:p>
    <w:p w14:paraId="2B1F97AA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760A1BF0" w14:textId="7777777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Prize values are correct at the commencement date of the raffle.</w:t>
      </w:r>
    </w:p>
    <w:p w14:paraId="3445E008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7CDEB574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Prize Conditions</w:t>
      </w:r>
    </w:p>
    <w:p w14:paraId="06E4194E" w14:textId="77B06BD8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 xml:space="preserve">The vehicle prize includes standard registration, compulsory </w:t>
      </w:r>
      <w:proofErr w:type="gramStart"/>
      <w:r w:rsidRPr="00082A6E">
        <w:rPr>
          <w:lang w:val="en-AU"/>
        </w:rPr>
        <w:t>third party</w:t>
      </w:r>
      <w:proofErr w:type="gramEnd"/>
      <w:r>
        <w:rPr>
          <w:lang w:val="en-AU"/>
        </w:rPr>
        <w:t xml:space="preserve"> </w:t>
      </w:r>
      <w:r w:rsidRPr="00082A6E">
        <w:rPr>
          <w:lang w:val="en-AU"/>
        </w:rPr>
        <w:t>insurance and dealer delivery charges where applicable.</w:t>
      </w:r>
    </w:p>
    <w:p w14:paraId="77AB8A0B" w14:textId="6F7390A3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EV charging station and installation package is limited to a standard</w:t>
      </w:r>
      <w:r>
        <w:rPr>
          <w:lang w:val="en-AU"/>
        </w:rPr>
        <w:t xml:space="preserve"> </w:t>
      </w:r>
      <w:r w:rsidRPr="00082A6E">
        <w:rPr>
          <w:lang w:val="en-AU"/>
        </w:rPr>
        <w:t>residential installation. Any additional installation costs, switchboard upgrades,</w:t>
      </w:r>
      <w:r>
        <w:rPr>
          <w:lang w:val="en-AU"/>
        </w:rPr>
        <w:t xml:space="preserve"> </w:t>
      </w:r>
      <w:r w:rsidRPr="00082A6E">
        <w:rPr>
          <w:lang w:val="en-AU"/>
        </w:rPr>
        <w:t>electrical works or site-specific requirements above the included value are the</w:t>
      </w:r>
      <w:r>
        <w:rPr>
          <w:lang w:val="en-AU"/>
        </w:rPr>
        <w:t xml:space="preserve"> </w:t>
      </w:r>
      <w:r w:rsidRPr="00082A6E">
        <w:rPr>
          <w:lang w:val="en-AU"/>
        </w:rPr>
        <w:t>responsibility of the winner.</w:t>
      </w:r>
    </w:p>
    <w:p w14:paraId="0ADBB77E" w14:textId="3F80AAFC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Gold bullion will be supplied in a form and denomination determined by the</w:t>
      </w:r>
      <w:r>
        <w:rPr>
          <w:lang w:val="en-AU"/>
        </w:rPr>
        <w:t xml:space="preserve"> </w:t>
      </w:r>
      <w:r w:rsidRPr="00082A6E">
        <w:rPr>
          <w:lang w:val="en-AU"/>
        </w:rPr>
        <w:t>Promoter or supplier, to the value of $50,000.00.</w:t>
      </w:r>
    </w:p>
    <w:p w14:paraId="2A1B1B0A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Prizes are not transferable, exchangeable or redeemable for cash.</w:t>
      </w:r>
    </w:p>
    <w:p w14:paraId="6CE9264C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Prize images are for illustrative purposes only.</w:t>
      </w:r>
    </w:p>
    <w:p w14:paraId="476F1F61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lastRenderedPageBreak/>
        <w:t>Any costs not expressly stated as included are the responsibility of the winner.</w:t>
      </w:r>
    </w:p>
    <w:p w14:paraId="0D13AA20" w14:textId="10BC7173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If any prize component becomes unavailable, it may be substituted with a prize</w:t>
      </w:r>
      <w:r>
        <w:rPr>
          <w:lang w:val="en-AU"/>
        </w:rPr>
        <w:t xml:space="preserve"> </w:t>
      </w:r>
      <w:r w:rsidRPr="00082A6E">
        <w:rPr>
          <w:lang w:val="en-AU"/>
        </w:rPr>
        <w:t>of equal or greater value, subject to regulatory approval.</w:t>
      </w:r>
    </w:p>
    <w:p w14:paraId="467257F4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2BA50CAD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Draw Details</w:t>
      </w:r>
    </w:p>
    <w:p w14:paraId="75E404F0" w14:textId="54425B7B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draw will take place at 2:00pm AEST on 30/09/2026 at 133 Pine Road, Richlands</w:t>
      </w:r>
      <w:r>
        <w:rPr>
          <w:lang w:val="en-AU"/>
        </w:rPr>
        <w:t xml:space="preserve">, </w:t>
      </w:r>
      <w:r w:rsidRPr="00082A6E">
        <w:rPr>
          <w:lang w:val="en-AU"/>
        </w:rPr>
        <w:t>QLD 4077.</w:t>
      </w:r>
    </w:p>
    <w:p w14:paraId="479E5EF4" w14:textId="7777777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draw will be conducted in accordance with all relevant state regulations.</w:t>
      </w:r>
    </w:p>
    <w:p w14:paraId="2FEF63A8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21AD828C" w14:textId="2859149B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Draw Metho</w:t>
      </w:r>
      <w:r>
        <w:rPr>
          <w:b/>
          <w:bCs/>
          <w:lang w:val="en-AU"/>
        </w:rPr>
        <w:t>d</w:t>
      </w:r>
    </w:p>
    <w:p w14:paraId="1875E86A" w14:textId="77777777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A numbered raffle ticket will be drawn at random from a clear barrel.</w:t>
      </w:r>
    </w:p>
    <w:p w14:paraId="2ED20760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7E61DCC8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Winner Notification &amp; Publication</w:t>
      </w:r>
    </w:p>
    <w:p w14:paraId="0B5FE04B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winner will be notified by phone and email within three business days.</w:t>
      </w:r>
    </w:p>
    <w:p w14:paraId="782C45A1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winner’s name will be published on:</w:t>
      </w:r>
    </w:p>
    <w:p w14:paraId="55782E05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raffle website</w:t>
      </w:r>
    </w:p>
    <w:p w14:paraId="7E8A4B75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Lion Richlands website</w:t>
      </w:r>
    </w:p>
    <w:p w14:paraId="1A7DB8F3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Relevant social media pages</w:t>
      </w:r>
    </w:p>
    <w:p w14:paraId="642CF60D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2BE83E45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Prize Claim Period</w:t>
      </w:r>
    </w:p>
    <w:p w14:paraId="07A9A5FA" w14:textId="4C8AFD8E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The winner has 36 months from notification to claim the prize.</w:t>
      </w:r>
    </w:p>
    <w:p w14:paraId="00BD247D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1251112F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Unclaimed Prizes</w:t>
      </w:r>
    </w:p>
    <w:p w14:paraId="4B0CF5BD" w14:textId="7DECF8AB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Unclaimed or invalid prizes may be sold or otherwise dealt with in accordance with</w:t>
      </w:r>
      <w:r>
        <w:rPr>
          <w:lang w:val="en-AU"/>
        </w:rPr>
        <w:t xml:space="preserve"> </w:t>
      </w:r>
      <w:r w:rsidRPr="00082A6E">
        <w:rPr>
          <w:lang w:val="en-AU"/>
        </w:rPr>
        <w:t>applicable legislation and regulatory approval, with proceeds used for not-for-profit</w:t>
      </w:r>
      <w:r>
        <w:rPr>
          <w:lang w:val="en-AU"/>
        </w:rPr>
        <w:t xml:space="preserve"> </w:t>
      </w:r>
      <w:r w:rsidRPr="00082A6E">
        <w:rPr>
          <w:lang w:val="en-AU"/>
        </w:rPr>
        <w:t>purposes.</w:t>
      </w:r>
    </w:p>
    <w:p w14:paraId="34172F3C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4B3C404E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Dispute Resolution</w:t>
      </w:r>
    </w:p>
    <w:p w14:paraId="617BD8B6" w14:textId="070CBB7A" w:rsid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Any disputes will first be addressed directly by the Promoter. If unresolved, the</w:t>
      </w:r>
      <w:r>
        <w:rPr>
          <w:lang w:val="en-AU"/>
        </w:rPr>
        <w:t xml:space="preserve"> </w:t>
      </w:r>
      <w:r w:rsidRPr="00082A6E">
        <w:rPr>
          <w:lang w:val="en-AU"/>
        </w:rPr>
        <w:t>Promoter will liaise with the relevant State or Territory authority.</w:t>
      </w:r>
    </w:p>
    <w:p w14:paraId="011E7869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</w:p>
    <w:p w14:paraId="673598EE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b/>
          <w:bCs/>
          <w:lang w:val="en-AU"/>
        </w:rPr>
        <w:t>Privacy</w:t>
      </w:r>
    </w:p>
    <w:p w14:paraId="0E38C1FF" w14:textId="08FDF2CB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Entrants who opt in may receive marketing communications from the Promoter and</w:t>
      </w:r>
      <w:r>
        <w:rPr>
          <w:lang w:val="en-AU"/>
        </w:rPr>
        <w:t xml:space="preserve"> </w:t>
      </w:r>
      <w:r w:rsidRPr="00082A6E">
        <w:rPr>
          <w:lang w:val="en-AU"/>
        </w:rPr>
        <w:t>authorised partners.</w:t>
      </w:r>
    </w:p>
    <w:p w14:paraId="32771DD1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Opt-out requests can be made at any time by contacting:</w:t>
      </w:r>
    </w:p>
    <w:p w14:paraId="1EBFAE06" w14:textId="77777777" w:rsidR="00082A6E" w:rsidRPr="00082A6E" w:rsidRDefault="00082A6E" w:rsidP="00082A6E">
      <w:pPr>
        <w:pStyle w:val="BodyText"/>
        <w:spacing w:before="182"/>
        <w:ind w:left="1015"/>
        <w:rPr>
          <w:lang w:val="en-AU"/>
        </w:rPr>
      </w:pPr>
      <w:r w:rsidRPr="00082A6E">
        <w:rPr>
          <w:lang w:val="en-AU"/>
        </w:rPr>
        <w:t>marketing@thelion.net.au</w:t>
      </w:r>
    </w:p>
    <w:p w14:paraId="7048F49A" w14:textId="77777777" w:rsidR="00082A6E" w:rsidRPr="00082A6E" w:rsidRDefault="00082A6E" w:rsidP="00082A6E">
      <w:pPr>
        <w:pStyle w:val="BodyText"/>
        <w:spacing w:before="182"/>
        <w:ind w:left="0"/>
        <w:rPr>
          <w:lang w:val="en-AU"/>
        </w:rPr>
      </w:pPr>
    </w:p>
    <w:p w14:paraId="707B892E" w14:textId="11581464" w:rsidR="00082A6E" w:rsidRDefault="00082A6E" w:rsidP="00082A6E">
      <w:pPr>
        <w:pStyle w:val="BodyText"/>
        <w:spacing w:before="182"/>
        <w:ind w:left="1015"/>
      </w:pPr>
      <w:r w:rsidRPr="00082A6E">
        <w:rPr>
          <w:b/>
          <w:bCs/>
          <w:lang w:val="en-AU"/>
        </w:rPr>
        <w:lastRenderedPageBreak/>
        <w:t xml:space="preserve">Disclosure: </w:t>
      </w:r>
      <w:r w:rsidRPr="00082A6E">
        <w:rPr>
          <w:lang w:val="en-AU"/>
        </w:rPr>
        <w:t xml:space="preserve">There is an agreement with </w:t>
      </w:r>
      <w:proofErr w:type="spellStart"/>
      <w:r w:rsidRPr="00082A6E">
        <w:rPr>
          <w:lang w:val="en-AU"/>
        </w:rPr>
        <w:t>RaffleTix</w:t>
      </w:r>
      <w:proofErr w:type="spellEnd"/>
      <w:r w:rsidRPr="00082A6E">
        <w:rPr>
          <w:lang w:val="en-AU"/>
        </w:rPr>
        <w:t xml:space="preserve"> (ABN 24 623 531 340) to promote or</w:t>
      </w:r>
      <w:r>
        <w:rPr>
          <w:lang w:val="en-AU"/>
        </w:rPr>
        <w:t xml:space="preserve"> </w:t>
      </w:r>
      <w:r w:rsidRPr="00082A6E">
        <w:rPr>
          <w:lang w:val="en-AU"/>
        </w:rPr>
        <w:t>conduct this raffle for reward.</w:t>
      </w:r>
    </w:p>
    <w:p w14:paraId="79F636AC" w14:textId="4E2CBA4C" w:rsidR="00C367F9" w:rsidRDefault="00C367F9" w:rsidP="00082A6E">
      <w:pPr>
        <w:pStyle w:val="BodyText"/>
        <w:spacing w:before="41" w:line="237" w:lineRule="auto"/>
      </w:pPr>
    </w:p>
    <w:sectPr w:rsidR="00C367F9">
      <w:pgSz w:w="11910" w:h="16840"/>
      <w:pgMar w:top="1380" w:right="1417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E322E"/>
    <w:multiLevelType w:val="hybridMultilevel"/>
    <w:tmpl w:val="8812B34E"/>
    <w:lvl w:ilvl="0" w:tplc="550C0E98">
      <w:start w:val="1"/>
      <w:numFmt w:val="decimal"/>
      <w:lvlText w:val="%1"/>
      <w:lvlJc w:val="left"/>
      <w:pPr>
        <w:ind w:left="1177" w:hanging="16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1C76D8">
      <w:numFmt w:val="bullet"/>
      <w:lvlText w:val="•"/>
      <w:lvlJc w:val="left"/>
      <w:pPr>
        <w:ind w:left="145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ECFA1A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3" w:tplc="4CE43534">
      <w:numFmt w:val="bullet"/>
      <w:lvlText w:val="•"/>
      <w:lvlJc w:val="left"/>
      <w:pPr>
        <w:ind w:left="2535" w:hanging="188"/>
      </w:pPr>
      <w:rPr>
        <w:rFonts w:hint="default"/>
        <w:lang w:val="en-US" w:eastAsia="en-US" w:bidi="ar-SA"/>
      </w:rPr>
    </w:lvl>
    <w:lvl w:ilvl="4" w:tplc="6C36DBB6">
      <w:numFmt w:val="bullet"/>
      <w:lvlText w:val="•"/>
      <w:lvlJc w:val="left"/>
      <w:pPr>
        <w:ind w:left="3611" w:hanging="188"/>
      </w:pPr>
      <w:rPr>
        <w:rFonts w:hint="default"/>
        <w:lang w:val="en-US" w:eastAsia="en-US" w:bidi="ar-SA"/>
      </w:rPr>
    </w:lvl>
    <w:lvl w:ilvl="5" w:tplc="4D8C8DAE">
      <w:numFmt w:val="bullet"/>
      <w:lvlText w:val="•"/>
      <w:lvlJc w:val="left"/>
      <w:pPr>
        <w:ind w:left="4686" w:hanging="188"/>
      </w:pPr>
      <w:rPr>
        <w:rFonts w:hint="default"/>
        <w:lang w:val="en-US" w:eastAsia="en-US" w:bidi="ar-SA"/>
      </w:rPr>
    </w:lvl>
    <w:lvl w:ilvl="6" w:tplc="BF4A2D8E">
      <w:numFmt w:val="bullet"/>
      <w:lvlText w:val="•"/>
      <w:lvlJc w:val="left"/>
      <w:pPr>
        <w:ind w:left="5762" w:hanging="188"/>
      </w:pPr>
      <w:rPr>
        <w:rFonts w:hint="default"/>
        <w:lang w:val="en-US" w:eastAsia="en-US" w:bidi="ar-SA"/>
      </w:rPr>
    </w:lvl>
    <w:lvl w:ilvl="7" w:tplc="24E84296">
      <w:numFmt w:val="bullet"/>
      <w:lvlText w:val="•"/>
      <w:lvlJc w:val="left"/>
      <w:pPr>
        <w:ind w:left="6837" w:hanging="188"/>
      </w:pPr>
      <w:rPr>
        <w:rFonts w:hint="default"/>
        <w:lang w:val="en-US" w:eastAsia="en-US" w:bidi="ar-SA"/>
      </w:rPr>
    </w:lvl>
    <w:lvl w:ilvl="8" w:tplc="02B29F16">
      <w:numFmt w:val="bullet"/>
      <w:lvlText w:val="•"/>
      <w:lvlJc w:val="left"/>
      <w:pPr>
        <w:ind w:left="7913" w:hanging="188"/>
      </w:pPr>
      <w:rPr>
        <w:rFonts w:hint="default"/>
        <w:lang w:val="en-US" w:eastAsia="en-US" w:bidi="ar-SA"/>
      </w:rPr>
    </w:lvl>
  </w:abstractNum>
  <w:num w:numId="1" w16cid:durableId="211532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9"/>
    <w:rsid w:val="00082A6E"/>
    <w:rsid w:val="00182089"/>
    <w:rsid w:val="0094180C"/>
    <w:rsid w:val="00AC4CA2"/>
    <w:rsid w:val="00C367F9"/>
    <w:rsid w:val="00C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116D"/>
  <w15:docId w15:val="{D5E5EC71-F4EA-41D4-B3E5-1926DC08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ind w:left="1175" w:hanging="16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4"/>
    </w:pPr>
  </w:style>
  <w:style w:type="paragraph" w:styleId="ListParagraph">
    <w:name w:val="List Paragraph"/>
    <w:basedOn w:val="Normal"/>
    <w:uiPriority w:val="1"/>
    <w:qFormat/>
    <w:pPr>
      <w:ind w:left="1201" w:hanging="18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4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C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Chandler Milligan</dc:creator>
  <cp:lastModifiedBy>Chandler Milligan</cp:lastModifiedBy>
  <cp:revision>2</cp:revision>
  <dcterms:created xsi:type="dcterms:W3CDTF">2026-05-26T04:00:00Z</dcterms:created>
  <dcterms:modified xsi:type="dcterms:W3CDTF">2026-05-26T04:00:00Z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Express</vt:lpwstr>
  </property>
</Properties>
</file>